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657BF7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220" cy="9665903"/>
            <wp:effectExtent l="0" t="0" r="0" b="0"/>
            <wp:docPr id="3" name="Рисунок 3" descr="C:\Users\Медиотека\Pictures\2020-10-20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иотека\Pictures\2020-10-20\Sc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BF7" w:rsidRDefault="00657BF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BF7" w:rsidRPr="00684480" w:rsidRDefault="00657BF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BF7" w:rsidRDefault="00657BF7" w:rsidP="00657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BF7" w:rsidRDefault="00657BF7" w:rsidP="00657BF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A2227" w:rsidRPr="006579F1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EA2227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родительского контроля на 2020-2021 учебный год</w:t>
      </w: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657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EA2227">
        <w:rPr>
          <w:rFonts w:ascii="Times New Roman" w:hAnsi="Times New Roman" w:cs="Times New Roman"/>
          <w:sz w:val="28"/>
          <w:szCs w:val="28"/>
        </w:rPr>
        <w:t xml:space="preserve"> комиссии</w:t>
      </w:r>
      <w:proofErr w:type="gramStart"/>
      <w:r w:rsidRPr="00EA2227">
        <w:rPr>
          <w:rFonts w:ascii="Times New Roman" w:hAnsi="Times New Roman" w:cs="Times New Roman"/>
          <w:sz w:val="28"/>
          <w:szCs w:val="28"/>
        </w:rPr>
        <w:t xml:space="preserve"> </w:t>
      </w:r>
      <w:r w:rsidR="00657BF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57BF7" w:rsidRDefault="00657BF7" w:rsidP="00657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Музыченко О.С.</w:t>
      </w:r>
    </w:p>
    <w:p w:rsidR="00657BF7" w:rsidRDefault="00657BF7" w:rsidP="00657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Попова Н.В.</w:t>
      </w:r>
    </w:p>
    <w:p w:rsidR="00657BF7" w:rsidRPr="00D25E6E" w:rsidRDefault="00657BF7" w:rsidP="00657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19C" w:rsidRPr="00657BF7" w:rsidRDefault="0009219C" w:rsidP="00657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9219C" w:rsidRPr="00657BF7" w:rsidRDefault="0009219C" w:rsidP="00657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657BF7" w:rsidP="0009219C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План-задание для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родительского контроля в обеденном зале</w:t>
      </w:r>
    </w:p>
    <w:p w:rsidR="00214A2F" w:rsidRP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6E" w:rsidRDefault="00D25E6E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5E6E" w:rsidRPr="002C6A5E" w:rsidRDefault="00657BF7" w:rsidP="00D25E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Все блюда и кулинарные изделия, изготовляемые на пищеблоке МБОУ ЦО № 45 (далее – Школа), подлежат обязательному бракеражу по мере их готовности.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 заведующего производством.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  <w:proofErr w:type="gramEnd"/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2.3.Вкус пищи, как и запах, следует устанавливать при характерной для неё температуре.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 тарелку,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3.5. При определении вкуса и запаха отмечают, обладает ли блюдо присущим ему вкусом, нет ли постороннего привкуса и запаха, наличия горечи,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недосолености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4.2.Мясо птицы должно быть мягким, сочным и легко отделяться от костей.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Макаронные изделия, если они сварены правильно, должны быть мягкими и легко определяться друг от друга, не склеиваясь, свисать с ребра вилки или ложки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иточки и котлеты из круп должны сохранять форму после жарки.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>личие специфических запахов. Особенно это важно для рыбы, которая легко приобретает посторонние запахи их окружающей среды.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91C">
        <w:rPr>
          <w:rFonts w:ascii="Times New Roman" w:hAnsi="Times New Roman" w:cs="Times New Roman"/>
          <w:sz w:val="24"/>
          <w:szCs w:val="24"/>
        </w:rPr>
        <w:t>Вареная рыба должна быть мягкой, сочной, не крошащейся сохраняющей форму нарезки.</w:t>
      </w:r>
    </w:p>
    <w:p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готовых  кулинарных изделий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по органолептическим показателям: вкусу, цвету, запаху, консистенции.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 путём взвешивания порций, взятых при отпуске потребителю.</w:t>
      </w: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25E6E" w:rsidRPr="00EB291C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B3"/>
    <w:rsid w:val="0009219C"/>
    <w:rsid w:val="00214A2F"/>
    <w:rsid w:val="00237380"/>
    <w:rsid w:val="004C589D"/>
    <w:rsid w:val="005C2E97"/>
    <w:rsid w:val="00644EA4"/>
    <w:rsid w:val="006579F1"/>
    <w:rsid w:val="00657BF7"/>
    <w:rsid w:val="00684480"/>
    <w:rsid w:val="0090582A"/>
    <w:rsid w:val="009D3B9A"/>
    <w:rsid w:val="00AE009E"/>
    <w:rsid w:val="00D223B3"/>
    <w:rsid w:val="00D25E6E"/>
    <w:rsid w:val="00EA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Медиотека</cp:lastModifiedBy>
  <cp:revision>2</cp:revision>
  <cp:lastPrinted>2020-10-20T06:31:00Z</cp:lastPrinted>
  <dcterms:created xsi:type="dcterms:W3CDTF">2020-10-20T06:34:00Z</dcterms:created>
  <dcterms:modified xsi:type="dcterms:W3CDTF">2020-10-20T06:34:00Z</dcterms:modified>
</cp:coreProperties>
</file>